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April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8D77EF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CLN401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8D77EF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D77EF">
        <w:rPr>
          <w:rFonts w:asciiTheme="minorHAnsi" w:hAnsiTheme="minorHAnsi"/>
          <w:b/>
          <w:lang w:val="en-ZA"/>
        </w:rPr>
        <w:t>22 April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A5B7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A5B7C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A5B7C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CLN401</w:t>
            </w:r>
            <w:r w:rsidR="008D77EF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ZAG000125824</w:t>
            </w:r>
          </w:p>
        </w:tc>
        <w:tc>
          <w:tcPr>
            <w:tcW w:w="2925" w:type="dxa"/>
          </w:tcPr>
          <w:p w:rsidR="00DE6F97" w:rsidRPr="003A5C94" w:rsidRDefault="008D77EF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2,000,000.00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8D77EF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R9,000,000.00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D77EF" w:rsidRDefault="008D77E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D77EF" w:rsidRPr="003A5C94" w:rsidRDefault="008D77E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Faheem Mohamed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+27 11 4154157</w:t>
      </w:r>
    </w:p>
    <w:p w:rsidR="00DE6F97" w:rsidRPr="003A5C94" w:rsidRDefault="008D77E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="00DE6F97" w:rsidRPr="003A5C94">
        <w:rPr>
          <w:rFonts w:asciiTheme="minorHAnsi" w:hAnsiTheme="minorHAnsi" w:cs="Arial"/>
          <w:lang w:val="en-ZA"/>
        </w:rPr>
        <w:t>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5B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5B7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77EF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5B7C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2016-11-29T15:00:00+00:00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02762E2-7777-440A-A8D9-630AA821AB14}"/>
</file>

<file path=customXml/itemProps2.xml><?xml version="1.0" encoding="utf-8"?>
<ds:datastoreItem xmlns:ds="http://schemas.openxmlformats.org/officeDocument/2006/customXml" ds:itemID="{ED30B138-207E-43A9-AB57-B442C5C02C14}"/>
</file>

<file path=customXml/itemProps3.xml><?xml version="1.0" encoding="utf-8"?>
<ds:datastoreItem xmlns:ds="http://schemas.openxmlformats.org/officeDocument/2006/customXml" ds:itemID="{FC63237D-FA8D-482A-A589-E82FAFBE5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2016-04-21T05:29:00Z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